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2C17A6">
      <w:pPr>
        <w:widowControl/>
        <w:tabs>
          <w:tab w:val="left" w:pos="1066"/>
        </w:tabs>
        <w:overflowPunct/>
        <w:topLinePunct w:val="0"/>
        <w:autoSpaceDE/>
        <w:autoSpaceDN/>
        <w:snapToGrid/>
        <w:spacing w:after="156" w:afterLines="50" w:line="640" w:lineRule="exact"/>
        <w:jc w:val="center"/>
        <w:rPr>
          <w:rFonts w:ascii="宋体" w:hAnsi="宋体" w:eastAsia="方正小标宋_GBK"/>
          <w:spacing w:val="-11"/>
          <w:kern w:val="0"/>
          <w:sz w:val="44"/>
          <w:szCs w:val="44"/>
        </w:rPr>
      </w:pPr>
      <w:bookmarkStart w:id="0" w:name="_GoBack"/>
      <w:bookmarkEnd w:id="0"/>
      <w:r>
        <w:rPr>
          <w:rFonts w:ascii="宋体" w:hAnsi="宋体" w:eastAsia="方正小标宋_GBK"/>
          <w:spacing w:val="-11"/>
          <w:kern w:val="0"/>
          <w:sz w:val="44"/>
          <w:szCs w:val="44"/>
        </w:rPr>
        <w:t>国家综合性消防救援队伍</w:t>
      </w:r>
      <w:r>
        <w:rPr>
          <w:rFonts w:ascii="Times New Roman" w:hAnsi="Times New Roman" w:eastAsia="宋体"/>
          <w:spacing w:val="-11"/>
          <w:kern w:val="0"/>
          <w:sz w:val="44"/>
          <w:szCs w:val="44"/>
        </w:rPr>
        <w:t>2025</w:t>
      </w:r>
      <w:r>
        <w:rPr>
          <w:rFonts w:ascii="宋体" w:hAnsi="宋体" w:eastAsia="方正小标宋_GBK"/>
          <w:spacing w:val="-11"/>
          <w:kern w:val="0"/>
          <w:sz w:val="44"/>
          <w:szCs w:val="44"/>
        </w:rPr>
        <w:t>年</w:t>
      </w:r>
      <w:r>
        <w:rPr>
          <w:rFonts w:hint="eastAsia" w:ascii="宋体" w:hAnsi="宋体" w:eastAsia="方正小标宋_GBK"/>
          <w:spacing w:val="-11"/>
          <w:kern w:val="0"/>
          <w:sz w:val="44"/>
          <w:szCs w:val="44"/>
        </w:rPr>
        <w:t>度</w:t>
      </w:r>
      <w:r>
        <w:rPr>
          <w:rFonts w:ascii="宋体" w:hAnsi="宋体" w:eastAsia="方正小标宋_GBK"/>
          <w:spacing w:val="-11"/>
          <w:kern w:val="0"/>
          <w:sz w:val="44"/>
          <w:szCs w:val="44"/>
        </w:rPr>
        <w:t>消防员招录</w:t>
      </w:r>
    </w:p>
    <w:p w14:paraId="08B8CDF4">
      <w:pPr>
        <w:widowControl/>
        <w:tabs>
          <w:tab w:val="left" w:pos="1066"/>
        </w:tabs>
        <w:overflowPunct/>
        <w:topLinePunct w:val="0"/>
        <w:autoSpaceDE/>
        <w:autoSpaceDN/>
        <w:snapToGrid/>
        <w:spacing w:after="156" w:afterLines="50" w:line="640" w:lineRule="exact"/>
        <w:jc w:val="both"/>
        <w:rPr>
          <w:rFonts w:ascii="宋体" w:hAnsi="宋体"/>
          <w:kern w:val="0"/>
        </w:rPr>
      </w:pPr>
      <w:r>
        <w:rPr>
          <w:rFonts w:ascii="宋体" w:hAnsi="宋体" w:eastAsia="方正小标宋_GBK"/>
          <w:kern w:val="0"/>
          <w:sz w:val="44"/>
          <w:szCs w:val="44"/>
        </w:rPr>
        <w:t>体能测试、岗位适应性测试项目及标准</w:t>
      </w:r>
      <w:r>
        <w:rPr>
          <w:rFonts w:hint="eastAsia" w:ascii="方正楷体_GBK" w:hAnsi="方正楷体_GBK" w:eastAsia="方正楷体_GBK" w:cs="方正楷体_GBK"/>
          <w:kern w:val="0"/>
        </w:rPr>
        <w:t>（男性）</w:t>
      </w:r>
    </w:p>
    <w:tbl>
      <w:tblPr>
        <w:tblStyle w:val="3"/>
        <w:tblW w:w="990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7"/>
        <w:gridCol w:w="721"/>
        <w:gridCol w:w="9"/>
        <w:gridCol w:w="725"/>
        <w:gridCol w:w="12"/>
        <w:gridCol w:w="721"/>
        <w:gridCol w:w="16"/>
        <w:gridCol w:w="718"/>
        <w:gridCol w:w="19"/>
        <w:gridCol w:w="714"/>
        <w:gridCol w:w="23"/>
        <w:gridCol w:w="711"/>
        <w:gridCol w:w="25"/>
        <w:gridCol w:w="708"/>
        <w:gridCol w:w="29"/>
        <w:gridCol w:w="705"/>
        <w:gridCol w:w="32"/>
        <w:gridCol w:w="701"/>
        <w:gridCol w:w="36"/>
        <w:gridCol w:w="857"/>
        <w:gridCol w:w="709"/>
      </w:tblGrid>
      <w:tr w14:paraId="66727A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717" w:type="dxa"/>
            <w:vMerge w:val="restart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338433">
            <w:pPr>
              <w:adjustRightInd w:val="0"/>
              <w:jc w:val="center"/>
              <w:rPr>
                <w:rFonts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项目</w:t>
            </w:r>
          </w:p>
        </w:tc>
        <w:tc>
          <w:tcPr>
            <w:tcW w:w="7482" w:type="dxa"/>
            <w:gridSpan w:val="19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767DAE">
            <w:pPr>
              <w:adjustRightInd w:val="0"/>
              <w:jc w:val="center"/>
              <w:textAlignment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eastAsia="黑体"/>
                <w:kern w:val="0"/>
                <w:sz w:val="24"/>
                <w:szCs w:val="24"/>
              </w:rPr>
              <w:t>体能测试成绩对应分值、测试办法</w:t>
            </w:r>
          </w:p>
        </w:tc>
        <w:tc>
          <w:tcPr>
            <w:tcW w:w="709" w:type="dxa"/>
            <w:vMerge w:val="restart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405DB1A6">
            <w:pPr>
              <w:widowControl/>
              <w:adjustRightIn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eastAsia="黑体"/>
                <w:kern w:val="0"/>
                <w:sz w:val="24"/>
                <w:szCs w:val="24"/>
              </w:rPr>
              <w:t>备注</w:t>
            </w:r>
          </w:p>
        </w:tc>
      </w:tr>
      <w:tr w14:paraId="65306E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717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174D9C">
            <w:pPr>
              <w:adjustRightInd w:val="0"/>
              <w:jc w:val="center"/>
              <w:rPr>
                <w:rFonts w:ascii="宋体" w:hAnsi="宋体" w:eastAsia="黑体"/>
                <w:sz w:val="24"/>
                <w:szCs w:val="24"/>
              </w:rPr>
            </w:pPr>
          </w:p>
        </w:tc>
        <w:tc>
          <w:tcPr>
            <w:tcW w:w="7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B4B11D">
            <w:pPr>
              <w:widowControl/>
              <w:adjustRightInd w:val="0"/>
              <w:jc w:val="center"/>
              <w:rPr>
                <w:rFonts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9846D0">
            <w:pPr>
              <w:adjustRightInd w:val="0"/>
              <w:jc w:val="center"/>
              <w:rPr>
                <w:rFonts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39D1F5">
            <w:pPr>
              <w:widowControl/>
              <w:adjustRightInd w:val="0"/>
              <w:jc w:val="center"/>
              <w:rPr>
                <w:rFonts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3545EB">
            <w:pPr>
              <w:widowControl/>
              <w:adjustRightInd w:val="0"/>
              <w:jc w:val="center"/>
              <w:rPr>
                <w:rFonts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4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DF85A9">
            <w:pPr>
              <w:widowControl/>
              <w:adjustRightInd w:val="0"/>
              <w:jc w:val="center"/>
              <w:rPr>
                <w:rFonts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5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4241F7">
            <w:pPr>
              <w:widowControl/>
              <w:adjustRightInd w:val="0"/>
              <w:jc w:val="center"/>
              <w:rPr>
                <w:rFonts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6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E53525">
            <w:pPr>
              <w:widowControl/>
              <w:adjustRightInd w:val="0"/>
              <w:jc w:val="center"/>
              <w:rPr>
                <w:rFonts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7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E02641">
            <w:pPr>
              <w:widowControl/>
              <w:adjustRightInd w:val="0"/>
              <w:jc w:val="center"/>
              <w:rPr>
                <w:rFonts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8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62EBD1">
            <w:pPr>
              <w:widowControl/>
              <w:adjustRightInd w:val="0"/>
              <w:jc w:val="center"/>
              <w:rPr>
                <w:rFonts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9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84F144">
            <w:pPr>
              <w:widowControl/>
              <w:adjustRightInd w:val="0"/>
              <w:jc w:val="center"/>
              <w:rPr>
                <w:rFonts w:ascii="宋体" w:hAnsi="宋体" w:eastAsia="楷体_GB2312"/>
                <w:spacing w:val="-1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10</w:t>
            </w:r>
            <w:r>
              <w:rPr>
                <w:rFonts w:ascii="宋体" w:hAnsi="宋体" w:eastAsia="楷体_GB2312"/>
                <w:spacing w:val="-10"/>
                <w:kern w:val="0"/>
                <w:sz w:val="24"/>
                <w:szCs w:val="24"/>
              </w:rPr>
              <w:t>分</w:t>
            </w: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08738B85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14:paraId="7A8BDD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717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F3DF4A">
            <w:pPr>
              <w:adjustRightInd w:val="0"/>
              <w:jc w:val="center"/>
              <w:rPr>
                <w:rFonts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1000</w:t>
            </w:r>
            <w:r>
              <w:rPr>
                <w:rFonts w:ascii="宋体" w:hAnsi="宋体" w:eastAsia="黑体"/>
                <w:sz w:val="24"/>
                <w:szCs w:val="24"/>
              </w:rPr>
              <w:t>米跑</w:t>
            </w:r>
          </w:p>
          <w:p w14:paraId="26EC0CA4">
            <w:pPr>
              <w:adjustRightInd w:val="0"/>
              <w:jc w:val="center"/>
              <w:rPr>
                <w:rFonts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（分、秒）</w:t>
            </w:r>
          </w:p>
        </w:tc>
        <w:tc>
          <w:tcPr>
            <w:tcW w:w="7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AB7275">
            <w:pPr>
              <w:widowControl/>
              <w:adjustRightInd w:val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</w:rPr>
              <w:t>35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2187DB">
            <w:pPr>
              <w:adjustRightInd w:val="0"/>
              <w:jc w:val="center"/>
              <w:textAlignment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1D9096">
            <w:pPr>
              <w:adjustRightInd w:val="0"/>
              <w:jc w:val="center"/>
              <w:textAlignment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AA6F29">
            <w:pPr>
              <w:widowControl/>
              <w:adjustRightInd w:val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A32839">
            <w:pPr>
              <w:adjustRightInd w:val="0"/>
              <w:jc w:val="center"/>
              <w:textAlignment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</w:rPr>
              <w:t>05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7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639A1F">
            <w:pPr>
              <w:widowControl/>
              <w:adjustRightInd w:val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192FEC">
            <w:pPr>
              <w:widowControl/>
              <w:adjustRightInd w:val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</w:rPr>
              <w:t>55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5771DA">
            <w:pPr>
              <w:widowControl/>
              <w:adjustRightInd w:val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</w:rPr>
              <w:t>50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BBF573">
            <w:pPr>
              <w:widowControl/>
              <w:adjustRightInd w:val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</w:rPr>
              <w:t>45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7AB342">
            <w:pPr>
              <w:widowControl/>
              <w:adjustRightInd w:val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</w:rPr>
              <w:t>40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1CEECDFC">
            <w:pPr>
              <w:widowControl/>
              <w:adjustRightInd w:val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必考项目</w:t>
            </w:r>
          </w:p>
        </w:tc>
      </w:tr>
      <w:tr w14:paraId="787B46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9" w:hRule="atLeast"/>
          <w:jc w:val="center"/>
        </w:trPr>
        <w:tc>
          <w:tcPr>
            <w:tcW w:w="1717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BB8CD4">
            <w:pPr>
              <w:adjustRightInd w:val="0"/>
              <w:jc w:val="center"/>
              <w:rPr>
                <w:rFonts w:ascii="宋体" w:hAnsi="宋体" w:eastAsia="黑体"/>
                <w:sz w:val="24"/>
                <w:szCs w:val="24"/>
              </w:rPr>
            </w:pPr>
          </w:p>
        </w:tc>
        <w:tc>
          <w:tcPr>
            <w:tcW w:w="7482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6F72C4">
            <w:pPr>
              <w:adjustRightInd w:val="0"/>
              <w:spacing w:line="280" w:lineRule="exact"/>
              <w:ind w:firstLine="480" w:firstLineChars="20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1.分组考核。</w:t>
            </w:r>
          </w:p>
          <w:p w14:paraId="3F15549A">
            <w:pPr>
              <w:adjustRightInd w:val="0"/>
              <w:spacing w:line="280" w:lineRule="exact"/>
              <w:ind w:firstLine="480" w:firstLineChars="20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2.在跑道或平地上标出起点线，考生从起点线处听到起跑口令后起跑，完成1000米距离到达终点线，记录时间。</w:t>
            </w:r>
          </w:p>
          <w:p w14:paraId="4CDE6ADB">
            <w:pPr>
              <w:adjustRightInd w:val="0"/>
              <w:spacing w:line="280" w:lineRule="exact"/>
              <w:ind w:firstLine="480" w:firstLineChars="20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3.考核以完成时间计算成绩。</w:t>
            </w:r>
          </w:p>
          <w:p w14:paraId="45DDE0A2">
            <w:pPr>
              <w:adjustRightInd w:val="0"/>
              <w:spacing w:line="280" w:lineRule="exact"/>
              <w:ind w:firstLine="480" w:firstLineChars="20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4.得分超出10分的，每递减5秒增加1分，最高15分。</w:t>
            </w:r>
          </w:p>
          <w:p w14:paraId="15E8F01F">
            <w:pPr>
              <w:widowControl/>
              <w:adjustRightInd w:val="0"/>
              <w:spacing w:line="280" w:lineRule="exact"/>
              <w:ind w:firstLine="480" w:firstLineChars="20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5.海拔2100-3000米，每增加100米高度标准递增3秒，3100-4000米，每增加100米高度标准递增4秒。</w:t>
            </w: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20A12888">
            <w:pPr>
              <w:widowControl/>
              <w:adjustRightIn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4480D5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717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93071E">
            <w:pPr>
              <w:adjustRightInd w:val="0"/>
              <w:jc w:val="center"/>
              <w:rPr>
                <w:rFonts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立定跳远</w:t>
            </w:r>
          </w:p>
          <w:p w14:paraId="6BCFD3C6">
            <w:pPr>
              <w:adjustRightInd w:val="0"/>
              <w:jc w:val="center"/>
              <w:rPr>
                <w:rFonts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（米）</w:t>
            </w:r>
          </w:p>
        </w:tc>
        <w:tc>
          <w:tcPr>
            <w:tcW w:w="7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4BC12B">
            <w:pPr>
              <w:widowControl/>
              <w:adjustRightInd w:val="0"/>
              <w:ind w:left="-62" w:leftChars="-77" w:right="-173" w:rightChars="-54" w:hanging="184" w:hangingChars="77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2.01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B0716E">
            <w:pPr>
              <w:widowControl/>
              <w:adjustRightInd w:val="0"/>
              <w:ind w:left="-62" w:leftChars="-77" w:right="-173" w:rightChars="-54" w:hanging="184" w:hangingChars="77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2.13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D7D35B">
            <w:pPr>
              <w:widowControl/>
              <w:adjustRightInd w:val="0"/>
              <w:ind w:left="-62" w:leftChars="-77" w:right="-173" w:rightChars="-54" w:hanging="184" w:hangingChars="77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2.18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B93F29">
            <w:pPr>
              <w:widowControl/>
              <w:adjustRightInd w:val="0"/>
              <w:ind w:left="-62" w:leftChars="-77" w:right="-173" w:rightChars="-54" w:hanging="184" w:hangingChars="77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2.23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E1BCF5">
            <w:pPr>
              <w:adjustRightInd w:val="0"/>
              <w:ind w:left="-62" w:leftChars="-77" w:right="-173" w:rightChars="-54" w:hanging="184" w:hangingChars="77"/>
              <w:jc w:val="center"/>
              <w:textAlignment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2.28</w:t>
            </w:r>
          </w:p>
        </w:tc>
        <w:tc>
          <w:tcPr>
            <w:tcW w:w="7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F2B293">
            <w:pPr>
              <w:widowControl/>
              <w:adjustRightInd w:val="0"/>
              <w:ind w:left="-62" w:leftChars="-77" w:right="-173" w:rightChars="-54" w:hanging="184" w:hangingChars="77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2.33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5CD4F9">
            <w:pPr>
              <w:widowControl/>
              <w:adjustRightInd w:val="0"/>
              <w:ind w:left="-62" w:leftChars="-77" w:right="-173" w:rightChars="-54" w:hanging="184" w:hangingChars="77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2.38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4E3CE9">
            <w:pPr>
              <w:widowControl/>
              <w:adjustRightInd w:val="0"/>
              <w:ind w:left="-62" w:leftChars="-77" w:right="-173" w:rightChars="-54" w:hanging="184" w:hangingChars="77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2.43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8C2E44">
            <w:pPr>
              <w:widowControl/>
              <w:adjustRightInd w:val="0"/>
              <w:ind w:left="-62" w:leftChars="-77" w:right="-173" w:rightChars="-54" w:hanging="184" w:hangingChars="77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2.48</w:t>
            </w:r>
          </w:p>
        </w:tc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E9670A">
            <w:pPr>
              <w:widowControl/>
              <w:adjustRightInd w:val="0"/>
              <w:ind w:left="-62" w:leftChars="-77" w:right="-173" w:rightChars="-54" w:hanging="184" w:hangingChars="77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2.53</w:t>
            </w: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5D367D7B">
            <w:pPr>
              <w:widowControl/>
              <w:adjustRightInd w:val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</w:tr>
      <w:tr w14:paraId="6B7593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2" w:hRule="atLeast"/>
          <w:jc w:val="center"/>
        </w:trPr>
        <w:tc>
          <w:tcPr>
            <w:tcW w:w="1717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7488DC">
            <w:pPr>
              <w:adjustRightInd w:val="0"/>
              <w:jc w:val="center"/>
              <w:rPr>
                <w:rFonts w:ascii="宋体" w:hAnsi="宋体" w:eastAsia="黑体"/>
                <w:sz w:val="24"/>
                <w:szCs w:val="24"/>
              </w:rPr>
            </w:pPr>
          </w:p>
        </w:tc>
        <w:tc>
          <w:tcPr>
            <w:tcW w:w="7482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736801">
            <w:pPr>
              <w:adjustRightInd w:val="0"/>
              <w:spacing w:line="280" w:lineRule="exact"/>
              <w:ind w:firstLine="480" w:firstLineChars="20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1.单个或分组考核。</w:t>
            </w:r>
          </w:p>
          <w:p w14:paraId="73CC693A">
            <w:pPr>
              <w:adjustRightInd w:val="0"/>
              <w:spacing w:line="280" w:lineRule="exact"/>
              <w:ind w:firstLine="480" w:firstLineChars="20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.在跑道或平地上标出起跳线，考生站立在起跳线后，脚尖不得踩线，脚尖不得离开地面，两脚原地同时起跳，不得有助跑、垫步或连跳动作，测量起跳线后沿至身体任何着地最近点后沿的垂直距离。两次测试，记录成绩较好的1次。</w:t>
            </w:r>
          </w:p>
          <w:p w14:paraId="5CEEB666">
            <w:pPr>
              <w:adjustRightInd w:val="0"/>
              <w:spacing w:line="280" w:lineRule="exact"/>
              <w:ind w:firstLine="480" w:firstLineChars="20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3.考核以完成跳出长度计算成绩。</w:t>
            </w:r>
          </w:p>
          <w:p w14:paraId="4786F87D">
            <w:pPr>
              <w:adjustRightInd w:val="0"/>
              <w:spacing w:line="280" w:lineRule="exact"/>
              <w:ind w:firstLine="480" w:firstLineChars="20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4.得分超出10分的，每递增5厘米增加1分，最高15分。</w:t>
            </w: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018D86C8">
            <w:pPr>
              <w:widowControl/>
              <w:adjustRightInd w:val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</w:tr>
      <w:tr w14:paraId="2BA378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717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D94DCC">
            <w:pPr>
              <w:widowControl/>
              <w:adjustRightInd w:val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单杠引体向上（次/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eastAsia="黑体"/>
                <w:sz w:val="24"/>
                <w:szCs w:val="24"/>
              </w:rPr>
              <w:t>分钟）</w:t>
            </w: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EDD59E">
            <w:pPr>
              <w:widowControl/>
              <w:adjustRightInd w:val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-</w:t>
            </w:r>
          </w:p>
        </w:tc>
        <w:tc>
          <w:tcPr>
            <w:tcW w:w="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70BA1C">
            <w:pPr>
              <w:widowControl/>
              <w:adjustRightInd w:val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D8839E">
            <w:pPr>
              <w:widowControl/>
              <w:adjustRightInd w:val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C8D468">
            <w:pPr>
              <w:widowControl/>
              <w:adjustRightInd w:val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B8F55D">
            <w:pPr>
              <w:widowControl/>
              <w:adjustRightInd w:val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4B1FD9">
            <w:pPr>
              <w:widowControl/>
              <w:adjustRightInd w:val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FC7D5E">
            <w:pPr>
              <w:widowControl/>
              <w:adjustRightInd w:val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5AB3CF">
            <w:pPr>
              <w:widowControl/>
              <w:adjustRightInd w:val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06BB25">
            <w:pPr>
              <w:widowControl/>
              <w:adjustRightInd w:val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9</w:t>
            </w:r>
          </w:p>
        </w:tc>
        <w:tc>
          <w:tcPr>
            <w:tcW w:w="8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CDAD6D">
            <w:pPr>
              <w:widowControl/>
              <w:adjustRightInd w:val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11</w:t>
            </w: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40D472D1">
            <w:pPr>
              <w:adjustRightInd w:val="0"/>
              <w:jc w:val="left"/>
              <w:textAlignment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14:paraId="45B5D8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1" w:hRule="atLeast"/>
          <w:jc w:val="center"/>
        </w:trPr>
        <w:tc>
          <w:tcPr>
            <w:tcW w:w="1717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97CEDB">
            <w:pPr>
              <w:widowControl/>
              <w:adjustRightInd w:val="0"/>
              <w:jc w:val="center"/>
              <w:rPr>
                <w:rFonts w:ascii="宋体" w:hAnsi="宋体" w:eastAsia="黑体"/>
                <w:sz w:val="24"/>
                <w:szCs w:val="24"/>
              </w:rPr>
            </w:pPr>
          </w:p>
        </w:tc>
        <w:tc>
          <w:tcPr>
            <w:tcW w:w="7482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360156">
            <w:pPr>
              <w:adjustRightInd w:val="0"/>
              <w:spacing w:line="280" w:lineRule="exact"/>
              <w:ind w:firstLine="480" w:firstLineChars="20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1.单个或分组考核。</w:t>
            </w:r>
          </w:p>
          <w:p w14:paraId="75C9CB72">
            <w:pPr>
              <w:adjustRightInd w:val="0"/>
              <w:spacing w:line="280" w:lineRule="exact"/>
              <w:ind w:firstLine="480" w:firstLineChars="20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2.按照规定动作要领完成动作。引体时下颌高于杠面、身体不得借助振浪或摆动、悬垂时双肘关节伸直；脚触及地面或立柱，结束考核。</w:t>
            </w:r>
          </w:p>
          <w:p w14:paraId="63C9BFD4">
            <w:pPr>
              <w:adjustRightInd w:val="0"/>
              <w:spacing w:line="280" w:lineRule="exact"/>
              <w:ind w:firstLine="480" w:firstLineChars="20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3.考核以完成次数计算成绩</w:t>
            </w:r>
            <w:r>
              <w:rPr>
                <w:rFonts w:hint="eastAsia" w:ascii="宋体" w:hAnsi="宋体"/>
                <w:sz w:val="24"/>
                <w:szCs w:val="24"/>
              </w:rPr>
              <w:t>，1次未完成的不计分</w:t>
            </w:r>
            <w:r>
              <w:rPr>
                <w:rFonts w:ascii="宋体" w:hAnsi="宋体"/>
                <w:sz w:val="24"/>
                <w:szCs w:val="24"/>
              </w:rPr>
              <w:t>。</w:t>
            </w:r>
          </w:p>
          <w:p w14:paraId="008230BA">
            <w:pPr>
              <w:adjustRightInd w:val="0"/>
              <w:spacing w:line="280" w:lineRule="exact"/>
              <w:ind w:firstLine="480" w:firstLineChars="20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4.得分超出10分的，每递增2次增加1分，最高15分。</w:t>
            </w: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3B4D316D">
            <w:pPr>
              <w:adjustRightInd w:val="0"/>
              <w:spacing w:line="240" w:lineRule="exact"/>
              <w:jc w:val="left"/>
              <w:textAlignment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</w:tr>
      <w:tr w14:paraId="3C6A32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717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9C9A7C">
            <w:pPr>
              <w:widowControl/>
              <w:adjustRightInd w:val="0"/>
              <w:jc w:val="center"/>
              <w:rPr>
                <w:rFonts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10</w:t>
            </w:r>
            <w:r>
              <w:rPr>
                <w:rFonts w:ascii="宋体" w:hAnsi="宋体" w:eastAsia="黑体"/>
                <w:sz w:val="24"/>
                <w:szCs w:val="24"/>
              </w:rPr>
              <w:t>米×</w:t>
            </w:r>
            <w:r>
              <w:rPr>
                <w:rFonts w:ascii="宋体" w:hAnsi="宋体" w:eastAsia="宋体"/>
                <w:sz w:val="24"/>
                <w:szCs w:val="24"/>
              </w:rPr>
              <w:t>4</w:t>
            </w:r>
          </w:p>
          <w:p w14:paraId="078004BE">
            <w:pPr>
              <w:widowControl/>
              <w:adjustRightInd w:val="0"/>
              <w:jc w:val="center"/>
              <w:rPr>
                <w:rFonts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往返跑</w:t>
            </w:r>
          </w:p>
          <w:p w14:paraId="2355050C">
            <w:pPr>
              <w:widowControl/>
              <w:adjustRightInd w:val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（秒）</w:t>
            </w: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C0CD30">
            <w:pPr>
              <w:widowControl/>
              <w:adjustRightInd w:val="0"/>
              <w:ind w:left="-234" w:leftChars="-73" w:right="-310" w:rightChars="-97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5</w:t>
            </w:r>
          </w:p>
        </w:tc>
        <w:tc>
          <w:tcPr>
            <w:tcW w:w="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8D465D">
            <w:pPr>
              <w:widowControl/>
              <w:adjustRightInd w:val="0"/>
              <w:ind w:left="-62" w:leftChars="-77" w:right="-173" w:rightChars="-54" w:hanging="184" w:hangingChars="77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13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3</w:t>
            </w:r>
          </w:p>
        </w:tc>
        <w:tc>
          <w:tcPr>
            <w:tcW w:w="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CDB21A">
            <w:pPr>
              <w:widowControl/>
              <w:adjustRightInd w:val="0"/>
              <w:ind w:left="-62" w:leftChars="-77" w:right="-173" w:rightChars="-54" w:hanging="184" w:hangingChars="77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12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8</w:t>
            </w:r>
          </w:p>
        </w:tc>
        <w:tc>
          <w:tcPr>
            <w:tcW w:w="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9F1235">
            <w:pPr>
              <w:widowControl/>
              <w:adjustRightInd w:val="0"/>
              <w:ind w:left="-62" w:leftChars="-77" w:right="-173" w:rightChars="-54" w:hanging="184" w:hangingChars="77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12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3</w:t>
            </w:r>
          </w:p>
        </w:tc>
        <w:tc>
          <w:tcPr>
            <w:tcW w:w="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29E13D">
            <w:pPr>
              <w:widowControl/>
              <w:adjustRightInd w:val="0"/>
              <w:ind w:left="-62" w:leftChars="-77" w:right="-173" w:rightChars="-54" w:hanging="184" w:hangingChars="77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11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8</w:t>
            </w:r>
          </w:p>
        </w:tc>
        <w:tc>
          <w:tcPr>
            <w:tcW w:w="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A3C1F2">
            <w:pPr>
              <w:widowControl/>
              <w:adjustRightInd w:val="0"/>
              <w:ind w:left="-62" w:leftChars="-77" w:right="-173" w:rightChars="-54" w:hanging="184" w:hangingChars="77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</w:t>
            </w:r>
            <w:r>
              <w:rPr>
                <w:rFonts w:hint="eastAsia" w:ascii="宋体" w:hAnsi="宋体"/>
                <w:sz w:val="24"/>
                <w:szCs w:val="24"/>
              </w:rPr>
              <w:t>1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hint="eastAsia" w:ascii="宋体" w:hAnsi="宋体"/>
                <w:sz w:val="24"/>
                <w:szCs w:val="24"/>
              </w:rPr>
              <w:t>3</w:t>
            </w:r>
          </w:p>
        </w:tc>
        <w:tc>
          <w:tcPr>
            <w:tcW w:w="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6ECCC6">
            <w:pPr>
              <w:widowControl/>
              <w:adjustRightInd w:val="0"/>
              <w:ind w:left="-62" w:leftChars="-77" w:right="-173" w:rightChars="-54" w:hanging="184" w:hangingChars="77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10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8</w:t>
            </w:r>
          </w:p>
        </w:tc>
        <w:tc>
          <w:tcPr>
            <w:tcW w:w="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09446B">
            <w:pPr>
              <w:widowControl/>
              <w:adjustRightInd w:val="0"/>
              <w:ind w:left="-62" w:leftChars="-77" w:right="-173" w:rightChars="-54" w:hanging="184" w:hangingChars="77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10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4</w:t>
            </w:r>
          </w:p>
        </w:tc>
        <w:tc>
          <w:tcPr>
            <w:tcW w:w="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1373EF">
            <w:pPr>
              <w:widowControl/>
              <w:adjustRightInd w:val="0"/>
              <w:ind w:left="-62" w:leftChars="-77" w:right="-173" w:rightChars="-54" w:hanging="184" w:hangingChars="77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10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1</w:t>
            </w:r>
          </w:p>
        </w:tc>
        <w:tc>
          <w:tcPr>
            <w:tcW w:w="8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7A1C25">
            <w:pPr>
              <w:widowControl/>
              <w:adjustRightInd w:val="0"/>
              <w:ind w:left="-62" w:leftChars="-77" w:right="-173" w:rightChars="-54" w:hanging="184" w:hangingChars="77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9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8</w:t>
            </w: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0C1B441C">
            <w:pPr>
              <w:adjustRightInd w:val="0"/>
              <w:jc w:val="left"/>
              <w:textAlignment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</w:tr>
      <w:tr w14:paraId="5266DC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1" w:hRule="atLeast"/>
          <w:jc w:val="center"/>
        </w:trPr>
        <w:tc>
          <w:tcPr>
            <w:tcW w:w="1717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6EB9AD">
            <w:pPr>
              <w:widowControl/>
              <w:adjustRightInd w:val="0"/>
              <w:jc w:val="center"/>
              <w:rPr>
                <w:rFonts w:ascii="宋体" w:hAnsi="宋体" w:eastAsia="黑体"/>
                <w:sz w:val="24"/>
                <w:szCs w:val="24"/>
              </w:rPr>
            </w:pPr>
          </w:p>
        </w:tc>
        <w:tc>
          <w:tcPr>
            <w:tcW w:w="7482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F95D9A">
            <w:pPr>
              <w:adjustRightInd w:val="0"/>
              <w:spacing w:line="280" w:lineRule="exact"/>
              <w:ind w:firstLine="480" w:firstLineChars="20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1.单个或分组考核。</w:t>
            </w:r>
          </w:p>
          <w:p w14:paraId="60DB8C75">
            <w:pPr>
              <w:adjustRightInd w:val="0"/>
              <w:spacing w:line="280" w:lineRule="exact"/>
              <w:ind w:firstLine="480" w:firstLineChars="20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2.在10米长的跑道上标出起点线和折返线，考生从起点线处听到起跑口令后起跑，在折返线处返回跑向起跑线，到达起跑线时为完成1次往返。连续完成2次往返，记录时间。</w:t>
            </w:r>
          </w:p>
          <w:p w14:paraId="1E519ADD">
            <w:pPr>
              <w:adjustRightInd w:val="0"/>
              <w:spacing w:line="280" w:lineRule="exact"/>
              <w:ind w:firstLine="480" w:firstLineChars="20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3.考核以完成时间计算成绩。</w:t>
            </w:r>
          </w:p>
          <w:p w14:paraId="08DB60E4">
            <w:pPr>
              <w:adjustRightInd w:val="0"/>
              <w:spacing w:line="280" w:lineRule="exact"/>
              <w:ind w:firstLine="480" w:firstLineChars="20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4.得分超出10分的，每递减0.1秒增加1分，最高15分。</w:t>
            </w:r>
          </w:p>
          <w:p w14:paraId="676EA080">
            <w:pPr>
              <w:adjustRightInd w:val="0"/>
              <w:spacing w:line="280" w:lineRule="exact"/>
              <w:ind w:firstLine="480" w:firstLineChars="20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5.高原地区按照上述内地标准增加1秒。</w:t>
            </w: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541F8B88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14:paraId="66430D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5" w:hRule="atLeast"/>
          <w:jc w:val="center"/>
        </w:trPr>
        <w:tc>
          <w:tcPr>
            <w:tcW w:w="17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41560314">
            <w:pPr>
              <w:adjustRightIn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备注</w:t>
            </w:r>
          </w:p>
        </w:tc>
        <w:tc>
          <w:tcPr>
            <w:tcW w:w="8191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384C1936">
            <w:pPr>
              <w:adjustRightInd w:val="0"/>
              <w:spacing w:line="280" w:lineRule="exact"/>
              <w:ind w:firstLine="480" w:firstLineChars="20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1.总成绩最高40分，单项未取得有效成绩的不予招录。</w:t>
            </w:r>
          </w:p>
          <w:p w14:paraId="167AFDE7">
            <w:pPr>
              <w:adjustRightInd w:val="0"/>
              <w:spacing w:line="280" w:lineRule="exact"/>
              <w:ind w:firstLine="480" w:firstLineChars="20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2.高原地区应在海拔4000米以下集中组织体能测试。</w:t>
            </w:r>
          </w:p>
          <w:p w14:paraId="467BC4CD">
            <w:pPr>
              <w:adjustRightInd w:val="0"/>
              <w:spacing w:line="280" w:lineRule="exact"/>
              <w:ind w:firstLine="480" w:firstLineChars="20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3.高原地区消防员招录中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“</w:t>
            </w:r>
            <w:r>
              <w:rPr>
                <w:rFonts w:ascii="宋体" w:hAnsi="宋体"/>
                <w:sz w:val="24"/>
                <w:szCs w:val="24"/>
              </w:rPr>
              <w:t>原地跳高、立定跳远、单杠引体向上、俯卧撑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”</w:t>
            </w:r>
            <w:r>
              <w:rPr>
                <w:rFonts w:ascii="宋体" w:hAnsi="宋体"/>
                <w:sz w:val="24"/>
                <w:szCs w:val="24"/>
              </w:rPr>
              <w:t>按照内地标准执行。</w:t>
            </w:r>
          </w:p>
          <w:p w14:paraId="7D1BD371">
            <w:pPr>
              <w:adjustRightInd w:val="0"/>
              <w:spacing w:line="280" w:lineRule="exact"/>
              <w:ind w:firstLine="480" w:firstLineChars="20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4.测试项目及标准中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“</w:t>
            </w:r>
            <w:r>
              <w:rPr>
                <w:rFonts w:ascii="宋体" w:hAnsi="宋体"/>
                <w:sz w:val="24"/>
                <w:szCs w:val="24"/>
              </w:rPr>
              <w:t>以上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”“</w:t>
            </w:r>
            <w:r>
              <w:rPr>
                <w:rFonts w:ascii="宋体" w:hAnsi="宋体"/>
                <w:sz w:val="24"/>
                <w:szCs w:val="24"/>
              </w:rPr>
              <w:t>以下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”</w:t>
            </w:r>
            <w:r>
              <w:rPr>
                <w:rFonts w:ascii="宋体" w:hAnsi="宋体"/>
                <w:sz w:val="24"/>
                <w:szCs w:val="24"/>
              </w:rPr>
              <w:t>均含本级、本数。</w:t>
            </w:r>
          </w:p>
        </w:tc>
      </w:tr>
    </w:tbl>
    <w:p w14:paraId="402752CD">
      <w:pPr>
        <w:adjustRightInd w:val="0"/>
        <w:rPr>
          <w:rFonts w:ascii="宋体" w:hAnsi="宋体" w:eastAsia="黑体"/>
          <w:sz w:val="24"/>
          <w:szCs w:val="24"/>
        </w:rPr>
      </w:pPr>
    </w:p>
    <w:p w14:paraId="50FB5B8D">
      <w:pPr>
        <w:adjustRightInd w:val="0"/>
        <w:rPr>
          <w:rFonts w:ascii="宋体" w:hAnsi="宋体" w:eastAsia="黑体"/>
          <w:sz w:val="24"/>
          <w:szCs w:val="24"/>
        </w:rPr>
      </w:pPr>
    </w:p>
    <w:p w14:paraId="750D1036">
      <w:pPr>
        <w:adjustRightInd w:val="0"/>
        <w:rPr>
          <w:rFonts w:ascii="宋体" w:hAnsi="宋体" w:eastAsia="黑体"/>
          <w:sz w:val="24"/>
          <w:szCs w:val="24"/>
        </w:rPr>
      </w:pPr>
    </w:p>
    <w:p w14:paraId="2B57268B">
      <w:pPr>
        <w:adjustRightInd w:val="0"/>
        <w:rPr>
          <w:rFonts w:ascii="宋体" w:hAnsi="宋体" w:eastAsia="黑体"/>
          <w:sz w:val="24"/>
          <w:szCs w:val="24"/>
        </w:rPr>
      </w:pPr>
    </w:p>
    <w:tbl>
      <w:tblPr>
        <w:tblStyle w:val="3"/>
        <w:tblW w:w="989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6"/>
        <w:gridCol w:w="4792"/>
        <w:gridCol w:w="730"/>
        <w:gridCol w:w="730"/>
        <w:gridCol w:w="730"/>
        <w:gridCol w:w="730"/>
      </w:tblGrid>
      <w:tr w14:paraId="75B8A7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9898" w:type="dxa"/>
            <w:gridSpan w:val="6"/>
            <w:noWrap w:val="0"/>
            <w:vAlign w:val="center"/>
          </w:tcPr>
          <w:p w14:paraId="7566AF98">
            <w:pPr>
              <w:adjustRightInd w:val="0"/>
              <w:jc w:val="center"/>
              <w:rPr>
                <w:rFonts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岗位适应性测试</w:t>
            </w:r>
            <w:r>
              <w:rPr>
                <w:rFonts w:hint="eastAsia" w:ascii="宋体" w:hAnsi="宋体" w:eastAsia="黑体"/>
                <w:sz w:val="24"/>
                <w:szCs w:val="24"/>
              </w:rPr>
              <w:t>成绩等次对应分值、测试办法</w:t>
            </w:r>
          </w:p>
        </w:tc>
      </w:tr>
      <w:tr w14:paraId="23F8D1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2186" w:type="dxa"/>
            <w:vMerge w:val="restart"/>
            <w:noWrap w:val="0"/>
            <w:vAlign w:val="center"/>
          </w:tcPr>
          <w:p w14:paraId="525F39A3">
            <w:pPr>
              <w:adjustRightInd w:val="0"/>
              <w:jc w:val="center"/>
              <w:rPr>
                <w:rFonts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项目</w:t>
            </w:r>
          </w:p>
        </w:tc>
        <w:tc>
          <w:tcPr>
            <w:tcW w:w="4792" w:type="dxa"/>
            <w:vMerge w:val="restart"/>
            <w:noWrap w:val="0"/>
            <w:vAlign w:val="center"/>
          </w:tcPr>
          <w:p w14:paraId="012CB4FD">
            <w:pPr>
              <w:adjustRightInd w:val="0"/>
              <w:jc w:val="center"/>
              <w:rPr>
                <w:rFonts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测试办法</w:t>
            </w:r>
          </w:p>
        </w:tc>
        <w:tc>
          <w:tcPr>
            <w:tcW w:w="730" w:type="dxa"/>
            <w:tcBorders>
              <w:bottom w:val="single" w:color="auto" w:sz="4" w:space="0"/>
            </w:tcBorders>
            <w:noWrap w:val="0"/>
            <w:vAlign w:val="center"/>
          </w:tcPr>
          <w:p w14:paraId="0351B556">
            <w:pPr>
              <w:adjustRightInd w:val="0"/>
              <w:jc w:val="center"/>
              <w:rPr>
                <w:rFonts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优秀</w:t>
            </w:r>
          </w:p>
        </w:tc>
        <w:tc>
          <w:tcPr>
            <w:tcW w:w="730" w:type="dxa"/>
            <w:tcBorders>
              <w:bottom w:val="single" w:color="auto" w:sz="4" w:space="0"/>
            </w:tcBorders>
            <w:noWrap w:val="0"/>
            <w:vAlign w:val="center"/>
          </w:tcPr>
          <w:p w14:paraId="4D0E0621">
            <w:pPr>
              <w:adjustRightInd w:val="0"/>
              <w:jc w:val="center"/>
              <w:rPr>
                <w:rFonts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良好</w:t>
            </w:r>
          </w:p>
        </w:tc>
        <w:tc>
          <w:tcPr>
            <w:tcW w:w="730" w:type="dxa"/>
            <w:tcBorders>
              <w:bottom w:val="single" w:color="auto" w:sz="4" w:space="0"/>
            </w:tcBorders>
            <w:noWrap w:val="0"/>
            <w:vAlign w:val="center"/>
          </w:tcPr>
          <w:p w14:paraId="78F04870">
            <w:pPr>
              <w:adjustRightInd w:val="0"/>
              <w:jc w:val="center"/>
              <w:rPr>
                <w:rFonts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中等</w:t>
            </w:r>
          </w:p>
        </w:tc>
        <w:tc>
          <w:tcPr>
            <w:tcW w:w="730" w:type="dxa"/>
            <w:tcBorders>
              <w:bottom w:val="single" w:color="auto" w:sz="4" w:space="0"/>
            </w:tcBorders>
            <w:noWrap w:val="0"/>
            <w:vAlign w:val="center"/>
          </w:tcPr>
          <w:p w14:paraId="77C7EAB9">
            <w:pPr>
              <w:adjustRightInd w:val="0"/>
              <w:jc w:val="center"/>
              <w:rPr>
                <w:rFonts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一般</w:t>
            </w:r>
          </w:p>
        </w:tc>
      </w:tr>
      <w:tr w14:paraId="469803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2186" w:type="dxa"/>
            <w:vMerge w:val="continue"/>
            <w:noWrap w:val="0"/>
            <w:vAlign w:val="center"/>
          </w:tcPr>
          <w:p w14:paraId="128F0025">
            <w:pPr>
              <w:adjustRightInd w:val="0"/>
              <w:jc w:val="center"/>
              <w:rPr>
                <w:rFonts w:ascii="宋体" w:hAnsi="宋体" w:eastAsia="黑体"/>
                <w:sz w:val="24"/>
                <w:szCs w:val="24"/>
              </w:rPr>
            </w:pPr>
          </w:p>
        </w:tc>
        <w:tc>
          <w:tcPr>
            <w:tcW w:w="4792" w:type="dxa"/>
            <w:vMerge w:val="continue"/>
            <w:noWrap w:val="0"/>
            <w:vAlign w:val="center"/>
          </w:tcPr>
          <w:p w14:paraId="2AD949F2">
            <w:pPr>
              <w:adjustRightInd w:val="0"/>
              <w:jc w:val="center"/>
              <w:rPr>
                <w:rFonts w:ascii="宋体" w:hAnsi="宋体" w:eastAsia="黑体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color="auto" w:sz="4" w:space="0"/>
            </w:tcBorders>
            <w:noWrap w:val="0"/>
            <w:vAlign w:val="center"/>
          </w:tcPr>
          <w:p w14:paraId="3EB6881E">
            <w:pPr>
              <w:widowControl/>
              <w:adjustRightInd w:val="0"/>
              <w:jc w:val="center"/>
              <w:rPr>
                <w:rFonts w:hint="eastAsia" w:ascii="宋体" w:hAnsi="宋体" w:eastAsia="楷体_GB2312" w:cs="楷体_GB2312"/>
                <w:spacing w:val="-23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楷体_GB2312" w:cs="楷体_GB2312"/>
                <w:spacing w:val="-23"/>
                <w:kern w:val="0"/>
                <w:sz w:val="21"/>
                <w:szCs w:val="21"/>
              </w:rPr>
              <w:t>10分</w:t>
            </w:r>
          </w:p>
        </w:tc>
        <w:tc>
          <w:tcPr>
            <w:tcW w:w="730" w:type="dxa"/>
            <w:tcBorders>
              <w:top w:val="single" w:color="auto" w:sz="4" w:space="0"/>
            </w:tcBorders>
            <w:noWrap w:val="0"/>
            <w:vAlign w:val="center"/>
          </w:tcPr>
          <w:p w14:paraId="7382DA5C">
            <w:pPr>
              <w:widowControl/>
              <w:adjustRightInd w:val="0"/>
              <w:jc w:val="center"/>
              <w:rPr>
                <w:rFonts w:hint="eastAsia" w:ascii="宋体" w:hAnsi="宋体" w:eastAsia="楷体_GB2312" w:cs="楷体_GB2312"/>
                <w:spacing w:val="-23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楷体_GB2312" w:cs="楷体_GB2312"/>
                <w:spacing w:val="-23"/>
                <w:kern w:val="0"/>
                <w:sz w:val="21"/>
                <w:szCs w:val="21"/>
              </w:rPr>
              <w:t>7.5分</w:t>
            </w:r>
          </w:p>
        </w:tc>
        <w:tc>
          <w:tcPr>
            <w:tcW w:w="730" w:type="dxa"/>
            <w:tcBorders>
              <w:top w:val="single" w:color="auto" w:sz="4" w:space="0"/>
            </w:tcBorders>
            <w:noWrap w:val="0"/>
            <w:vAlign w:val="center"/>
          </w:tcPr>
          <w:p w14:paraId="4E3F2978">
            <w:pPr>
              <w:widowControl/>
              <w:adjustRightInd w:val="0"/>
              <w:jc w:val="center"/>
              <w:rPr>
                <w:rFonts w:hint="eastAsia" w:ascii="宋体" w:hAnsi="宋体" w:eastAsia="楷体_GB2312" w:cs="楷体_GB2312"/>
                <w:spacing w:val="-23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楷体_GB2312" w:cs="楷体_GB2312"/>
                <w:spacing w:val="-23"/>
                <w:kern w:val="0"/>
                <w:sz w:val="21"/>
                <w:szCs w:val="21"/>
              </w:rPr>
              <w:t>5分</w:t>
            </w:r>
          </w:p>
        </w:tc>
        <w:tc>
          <w:tcPr>
            <w:tcW w:w="730" w:type="dxa"/>
            <w:tcBorders>
              <w:top w:val="single" w:color="auto" w:sz="4" w:space="0"/>
            </w:tcBorders>
            <w:noWrap w:val="0"/>
            <w:vAlign w:val="center"/>
          </w:tcPr>
          <w:p w14:paraId="0B38C7EB">
            <w:pPr>
              <w:widowControl/>
              <w:adjustRightInd w:val="0"/>
              <w:jc w:val="center"/>
              <w:rPr>
                <w:rFonts w:hint="eastAsia" w:ascii="宋体" w:hAnsi="宋体" w:eastAsia="楷体_GB2312" w:cs="楷体_GB2312"/>
                <w:spacing w:val="-23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楷体_GB2312" w:cs="楷体_GB2312"/>
                <w:spacing w:val="-23"/>
                <w:kern w:val="0"/>
                <w:sz w:val="21"/>
                <w:szCs w:val="21"/>
              </w:rPr>
              <w:t>2.5分</w:t>
            </w:r>
          </w:p>
        </w:tc>
      </w:tr>
      <w:tr w14:paraId="6BBBCA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1" w:hRule="atLeast"/>
          <w:jc w:val="center"/>
        </w:trPr>
        <w:tc>
          <w:tcPr>
            <w:tcW w:w="2186" w:type="dxa"/>
            <w:noWrap w:val="0"/>
            <w:vAlign w:val="center"/>
          </w:tcPr>
          <w:p w14:paraId="1AB89971">
            <w:pPr>
              <w:adjustRightInd w:val="0"/>
              <w:jc w:val="center"/>
              <w:rPr>
                <w:rFonts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原地攀登六米拉梯</w:t>
            </w:r>
          </w:p>
        </w:tc>
        <w:tc>
          <w:tcPr>
            <w:tcW w:w="4792" w:type="dxa"/>
            <w:noWrap w:val="0"/>
            <w:vAlign w:val="center"/>
          </w:tcPr>
          <w:p w14:paraId="2360510F">
            <w:pPr>
              <w:adjustRightInd w:val="0"/>
              <w:spacing w:line="28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考生穿着全套消防员防护装具，扣好安全绳，从原地逐级攀登架设在训练塔窗口的六米拉梯，并进入二楼平台。记录时间。</w:t>
            </w:r>
          </w:p>
        </w:tc>
        <w:tc>
          <w:tcPr>
            <w:tcW w:w="730" w:type="dxa"/>
            <w:noWrap w:val="0"/>
            <w:vAlign w:val="center"/>
          </w:tcPr>
          <w:p w14:paraId="223363CD">
            <w:pPr>
              <w:adjustRightIn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730" w:type="dxa"/>
            <w:noWrap w:val="0"/>
            <w:vAlign w:val="center"/>
          </w:tcPr>
          <w:p w14:paraId="2EAE227E">
            <w:pPr>
              <w:adjustRightIn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730" w:type="dxa"/>
            <w:noWrap w:val="0"/>
            <w:vAlign w:val="center"/>
          </w:tcPr>
          <w:p w14:paraId="3957C324">
            <w:pPr>
              <w:adjustRightIn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730" w:type="dxa"/>
            <w:noWrap w:val="0"/>
            <w:vAlign w:val="center"/>
          </w:tcPr>
          <w:p w14:paraId="08FC9F66">
            <w:pPr>
              <w:adjustRightIn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25</w:t>
            </w:r>
            <w:r>
              <w:rPr>
                <w:sz w:val="24"/>
                <w:szCs w:val="24"/>
              </w:rPr>
              <w:t>″</w:t>
            </w:r>
          </w:p>
        </w:tc>
      </w:tr>
      <w:tr w14:paraId="555A68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7" w:hRule="atLeast"/>
          <w:jc w:val="center"/>
        </w:trPr>
        <w:tc>
          <w:tcPr>
            <w:tcW w:w="2186" w:type="dxa"/>
            <w:noWrap w:val="0"/>
            <w:vAlign w:val="center"/>
          </w:tcPr>
          <w:p w14:paraId="1039ABA4">
            <w:pPr>
              <w:adjustRightInd w:val="0"/>
              <w:jc w:val="center"/>
              <w:rPr>
                <w:rFonts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拖拽</w:t>
            </w:r>
          </w:p>
        </w:tc>
        <w:tc>
          <w:tcPr>
            <w:tcW w:w="4792" w:type="dxa"/>
            <w:noWrap w:val="0"/>
            <w:vAlign w:val="center"/>
          </w:tcPr>
          <w:p w14:paraId="2FD90414">
            <w:pPr>
              <w:adjustRightInd w:val="0"/>
              <w:spacing w:line="28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考生佩戴消防头盔及消防安全腰带，将60公斤重的假人从起点线拖拽至距离起点线10米处的终点线（假人整体越过终点线）。记录时间。</w:t>
            </w:r>
          </w:p>
        </w:tc>
        <w:tc>
          <w:tcPr>
            <w:tcW w:w="730" w:type="dxa"/>
            <w:noWrap w:val="0"/>
            <w:vAlign w:val="center"/>
          </w:tcPr>
          <w:p w14:paraId="3B8EBF1E">
            <w:pPr>
              <w:adjustRightIn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730" w:type="dxa"/>
            <w:noWrap w:val="0"/>
            <w:vAlign w:val="center"/>
          </w:tcPr>
          <w:p w14:paraId="7B333EE1">
            <w:pPr>
              <w:adjustRightIn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730" w:type="dxa"/>
            <w:noWrap w:val="0"/>
            <w:vAlign w:val="center"/>
          </w:tcPr>
          <w:p w14:paraId="6832C615">
            <w:pPr>
              <w:adjustRightIn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730" w:type="dxa"/>
            <w:noWrap w:val="0"/>
            <w:vAlign w:val="center"/>
          </w:tcPr>
          <w:p w14:paraId="54E16E92">
            <w:pPr>
              <w:adjustRightIn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″</w:t>
            </w:r>
          </w:p>
        </w:tc>
      </w:tr>
      <w:tr w14:paraId="39F0FA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1" w:hRule="atLeast"/>
          <w:jc w:val="center"/>
        </w:trPr>
        <w:tc>
          <w:tcPr>
            <w:tcW w:w="2186" w:type="dxa"/>
            <w:noWrap w:val="0"/>
            <w:vAlign w:val="center"/>
          </w:tcPr>
          <w:p w14:paraId="3454EB7B">
            <w:pPr>
              <w:contextualSpacing/>
              <w:jc w:val="center"/>
              <w:rPr>
                <w:rFonts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备注</w:t>
            </w:r>
          </w:p>
        </w:tc>
        <w:tc>
          <w:tcPr>
            <w:tcW w:w="7712" w:type="dxa"/>
            <w:gridSpan w:val="5"/>
            <w:noWrap w:val="0"/>
            <w:vAlign w:val="center"/>
          </w:tcPr>
          <w:p w14:paraId="4AD1DAE0">
            <w:pPr>
              <w:widowControl/>
              <w:overflowPunct/>
              <w:topLinePunct w:val="0"/>
              <w:autoSpaceDE/>
              <w:autoSpaceDN/>
              <w:adjustRightInd w:val="0"/>
              <w:spacing w:line="280" w:lineRule="exact"/>
              <w:ind w:firstLine="480" w:firstLineChars="20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1.单项测试成绩达到一般、中等、良好</w:t>
            </w:r>
            <w:r>
              <w:rPr>
                <w:rFonts w:hint="eastAsia" w:ascii="宋体" w:hAnsi="宋体"/>
                <w:sz w:val="24"/>
                <w:szCs w:val="24"/>
              </w:rPr>
              <w:t>、</w:t>
            </w:r>
            <w:r>
              <w:rPr>
                <w:rFonts w:ascii="宋体" w:hAnsi="宋体"/>
                <w:sz w:val="24"/>
                <w:szCs w:val="24"/>
              </w:rPr>
              <w:t>优秀等次的，分别计2.5</w:t>
            </w:r>
            <w:r>
              <w:rPr>
                <w:rFonts w:hint="eastAsia" w:ascii="宋体" w:hAnsi="宋体"/>
                <w:sz w:val="24"/>
                <w:szCs w:val="24"/>
              </w:rPr>
              <w:t>分</w:t>
            </w:r>
            <w:r>
              <w:rPr>
                <w:rFonts w:ascii="宋体" w:hAnsi="宋体"/>
                <w:sz w:val="24"/>
                <w:szCs w:val="24"/>
              </w:rPr>
              <w:t>、5分、7.5分</w:t>
            </w:r>
            <w:r>
              <w:rPr>
                <w:rFonts w:hint="eastAsia" w:ascii="宋体" w:hAnsi="宋体"/>
                <w:sz w:val="24"/>
                <w:szCs w:val="24"/>
              </w:rPr>
              <w:t>、</w:t>
            </w:r>
            <w:r>
              <w:rPr>
                <w:rFonts w:ascii="宋体" w:hAnsi="宋体"/>
                <w:sz w:val="24"/>
                <w:szCs w:val="24"/>
              </w:rPr>
              <w:t>10分</w:t>
            </w:r>
            <w:r>
              <w:rPr>
                <w:rFonts w:hint="eastAsia" w:ascii="宋体" w:hAnsi="宋体"/>
                <w:sz w:val="24"/>
                <w:szCs w:val="24"/>
              </w:rPr>
              <w:t>，</w:t>
            </w:r>
            <w:r>
              <w:rPr>
                <w:rFonts w:ascii="宋体" w:hAnsi="宋体"/>
                <w:sz w:val="24"/>
                <w:szCs w:val="24"/>
              </w:rPr>
              <w:t>总成绩最高</w:t>
            </w:r>
            <w:r>
              <w:rPr>
                <w:rFonts w:hint="eastAsia" w:ascii="宋体" w:hAnsi="宋体"/>
                <w:sz w:val="24"/>
                <w:szCs w:val="24"/>
              </w:rPr>
              <w:t>2</w:t>
            </w:r>
            <w:r>
              <w:rPr>
                <w:rFonts w:ascii="宋体" w:hAnsi="宋体"/>
                <w:sz w:val="24"/>
                <w:szCs w:val="24"/>
              </w:rPr>
              <w:t>0分，单项</w:t>
            </w:r>
            <w:r>
              <w:rPr>
                <w:rFonts w:hint="eastAsia" w:ascii="宋体" w:hAnsi="宋体"/>
                <w:sz w:val="24"/>
                <w:szCs w:val="24"/>
              </w:rPr>
              <w:t>测试成绩</w:t>
            </w:r>
            <w:r>
              <w:rPr>
                <w:rFonts w:ascii="宋体" w:hAnsi="宋体"/>
                <w:sz w:val="24"/>
                <w:szCs w:val="24"/>
              </w:rPr>
              <w:t>未</w:t>
            </w:r>
            <w:r>
              <w:rPr>
                <w:rFonts w:hint="eastAsia" w:ascii="宋体" w:hAnsi="宋体"/>
                <w:sz w:val="24"/>
                <w:szCs w:val="24"/>
              </w:rPr>
              <w:t>达到一般等次的不予计分。</w:t>
            </w:r>
          </w:p>
          <w:p w14:paraId="5DBE556A">
            <w:pPr>
              <w:adjustRightInd w:val="0"/>
              <w:spacing w:line="280" w:lineRule="exact"/>
              <w:ind w:firstLine="480" w:firstLineChars="200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2</w:t>
            </w:r>
            <w:r>
              <w:rPr>
                <w:rFonts w:ascii="宋体" w:hAnsi="宋体"/>
                <w:sz w:val="24"/>
                <w:szCs w:val="24"/>
              </w:rPr>
              <w:t>.高原地区应在海拔4000米以下集中组织适应性测试，海拔2000-3000米，每增加100米高度标准递增3秒，3100-4000米，每增加100米高度标准递增4秒。</w:t>
            </w:r>
          </w:p>
        </w:tc>
      </w:tr>
    </w:tbl>
    <w:p w14:paraId="068BCDA1">
      <w:pPr>
        <w:adjustRightInd w:val="0"/>
        <w:spacing w:line="480" w:lineRule="exact"/>
        <w:ind w:right="-1190" w:rightChars="-372"/>
        <w:rPr>
          <w:rFonts w:ascii="Times New Roman" w:hAnsi="Times New Roman"/>
          <w:sz w:val="28"/>
          <w:szCs w:val="28"/>
        </w:rPr>
      </w:pPr>
    </w:p>
    <w:p w14:paraId="412BFE3E">
      <w:pPr>
        <w:adjustRightInd w:val="0"/>
        <w:spacing w:line="480" w:lineRule="exact"/>
        <w:ind w:right="-1190" w:rightChars="-372"/>
        <w:rPr>
          <w:rFonts w:ascii="Times New Roman" w:hAnsi="Times New Roman"/>
          <w:sz w:val="28"/>
          <w:szCs w:val="28"/>
        </w:rPr>
      </w:pPr>
    </w:p>
    <w:p w14:paraId="16117EAE"/>
    <w:sectPr>
      <w:pgSz w:w="11906" w:h="16838"/>
      <w:pgMar w:top="1440" w:right="1576" w:bottom="1440" w:left="1633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37C6F18-5D8C-400E-8494-8C0A55B703A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CD844205-EEAA-4054-80B6-685DB53B462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4FFB75DD-C798-463C-BC2F-5CFB21B12F54}"/>
  </w:font>
  <w:font w:name="方正楷体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4" w:fontKey="{BC1CE332-3295-4BFD-B2A4-85EAC096E129}"/>
  </w:font>
  <w:font w:name="楷体_GB2312">
    <w:altName w:val="楷体"/>
    <w:panose1 w:val="02010600030101010101"/>
    <w:charset w:val="00"/>
    <w:family w:val="modern"/>
    <w:pitch w:val="default"/>
    <w:sig w:usb0="00000000" w:usb1="00000000" w:usb2="00000006" w:usb3="00000000" w:csb0="00040001" w:csb1="00000000"/>
    <w:embedRegular r:id="rId5" w:fontKey="{18E410A7-09BC-4A28-B050-B0B3EEB32E4A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93" w:lineRule="auto"/>
      </w:pPr>
      <w:r>
        <w:separator/>
      </w:r>
    </w:p>
  </w:footnote>
  <w:footnote w:type="continuationSeparator" w:id="1">
    <w:p>
      <w:pPr>
        <w:spacing w:line="293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315D40"/>
    <w:rsid w:val="2A3C7F8D"/>
    <w:rsid w:val="6A8A4241"/>
    <w:rsid w:val="75315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overflowPunct w:val="0"/>
      <w:topLinePunct/>
      <w:autoSpaceDE w:val="0"/>
      <w:autoSpaceDN w:val="0"/>
      <w:snapToGrid w:val="0"/>
      <w:spacing w:line="293" w:lineRule="auto"/>
      <w:jc w:val="both"/>
    </w:pPr>
    <w:rPr>
      <w:rFonts w:ascii="方正仿宋_GBK" w:hAnsi="Calibri" w:eastAsia="方正仿宋_GBK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1113</Words>
  <Characters>1336</Characters>
  <Lines>0</Lines>
  <Paragraphs>0</Paragraphs>
  <TotalTime>1</TotalTime>
  <ScaleCrop>false</ScaleCrop>
  <LinksUpToDate>false</LinksUpToDate>
  <CharactersWithSpaces>1336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2026-03-27T08:57:00Z</dcterms:created>
  <dc:creator>Liang</dc:creator>
  <cp:lastModifiedBy>Liang</cp:lastModifiedBy>
  <dcterms:modified xsi:type="dcterms:W3CDTF">2026-03-30T01:23:38Z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414E87475FCE4C6A8D21E85FBF68383C_11</vt:lpwstr>
  </property>
  <property fmtid="{D5CDD505-2E9C-101B-9397-08002B2CF9AE}" pid="4" name="KSOTemplateDocerSaveRecord">
    <vt:lpwstr>eyJoZGlkIjoiZWUzOTU0ZTE3NzU2M2FhODUzNjhlMjU5MjU2NGNhYjEiLCJ1c2VySWQiOiIyMjMwNTg4MzYifQ==</vt:lpwstr>
  </property>
</Properties>
</file>